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888888"/>
          <w:sz w:val="18"/>
          <w:szCs w:val="18"/>
          <w:rtl w:val="0"/>
        </w:rPr>
        <w:t xml:space="preserve">VEDLEGG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40"/>
          <w:szCs w:val="40"/>
          <w:rtl w:val="0"/>
        </w:rPr>
        <w:t xml:space="preserve">Medieguide – Når journalisten ringer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444444"/>
          <w:sz w:val="20"/>
          <w:szCs w:val="20"/>
          <w:rtl w:val="0"/>
        </w:rPr>
        <w:t xml:space="preserve">Bruk denne guiden som talsperson eller kommunikasjonsansvarlig. Gå gjennom den FØR arrangementet – ikke mens journalisten venter.. Les gjennom denne FØR arrangementet. Ta med en kopi til koordineringssentralen.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6"/>
          <w:szCs w:val="26"/>
          <w:rtl w:val="0"/>
        </w:rPr>
        <w:t xml:space="preserve">Del 1: Forberedelse (gjør dette FØR arrangementet)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80" w:before="8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Ikke vent til pressen ringer. Gjør disse forberedelsene: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Vet hvem som er talsperson og hvem som er vara.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 maksimalt 3 nøkkelbudskap klare for de mest sannsynlige scenarioene (se Vedlegg 6 – FAQ).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Øv høyt: Les talspunktene dine høyt – ikke bare i hodet.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Gjennomfør en enkel øvelse der noen spiller journalist (se kapittelet om prosedyrer og øvelser).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240" w:lineRule="auto"/>
        <w:ind w:left="560" w:right="0" w:hanging="28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Lagre dette dokumentet på mobilen din – der det er lett å finne.</w:t>
      </w:r>
    </w:p>
    <w:p w:rsidR="00000000" w:rsidDel="00000000" w:rsidP="00000000" w:rsidRDefault="00000000" w:rsidRPr="00000000" w14:paraId="0000000B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6"/>
          <w:szCs w:val="26"/>
          <w:rtl w:val="0"/>
        </w:rPr>
        <w:t xml:space="preserve">Del 2: Når journalisten ringer – 5 steg (Svein Graff)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0" w:before="6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Disse 5 stegene gjelder enten du er forberedt eller ikke:</w:t>
      </w: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8426"/>
        <w:tblGridChange w:id="0">
          <w:tblGrid>
            <w:gridCol w:w="600"/>
            <w:gridCol w:w="8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Kjøp deg tid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Si: «Takk for at du ringer. Kan jeg ringe deg tilbake om 10 minutter?» Bruk denne tiden til å finne nøkkelbudskapene, informere kommunikasjonsansvarlig, og samle deg.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50" w:before="5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8426"/>
        <w:tblGridChange w:id="0">
          <w:tblGrid>
            <w:gridCol w:w="600"/>
            <w:gridCol w:w="8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Finn ut hva journalistens vinkel 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Spør: «Hva slags sak jobber du med?» / «Hva er din vinkling?» Ikke avslør mer enn nødvendig, men forstå hva de er ute etter FØR du sier noe.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50" w:before="5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8426"/>
        <w:tblGridChange w:id="0">
          <w:tblGrid>
            <w:gridCol w:w="600"/>
            <w:gridCol w:w="8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Avklar budskap med kommunikasjonsansvarlig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Sjekk hva som er godkjent å si. Bruk publiseringsflyten (Vedlegg 4). Ikke avvike fra godkjente talepunkter.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50" w:before="5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8426"/>
        <w:tblGridChange w:id="0">
          <w:tblGrid>
            <w:gridCol w:w="600"/>
            <w:gridCol w:w="8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Gjennomfør intervjuet med 3 nøkkelbudskap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Hold deg til maksimalt 3 poenger. Bruk brobygging for å komme tilbake til dem: «Det viktige her er at…»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50" w:before="5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8426"/>
        <w:tblGridChange w:id="0">
          <w:tblGrid>
            <w:gridCol w:w="600"/>
            <w:gridCol w:w="84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2e75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Be om sitatsjekk om nødvendig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«Kan du sende meg sitatet du planlegger å bruke?» Dette er en normal forespørsel fra talspersoner.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50" w:before="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6"/>
          <w:szCs w:val="26"/>
          <w:rtl w:val="0"/>
        </w:rPr>
        <w:t xml:space="preserve">Del 3: Gjør og unngå – rask oversikt</w:t>
      </w:r>
      <w:r w:rsidDel="00000000" w:rsidR="00000000" w:rsidRPr="00000000">
        <w:rPr>
          <w:rtl w:val="0"/>
        </w:rPr>
      </w:r>
    </w:p>
    <w:tbl>
      <w:tblPr>
        <w:tblStyle w:val="Table6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1e844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✅  Gjør dette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c0392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22"/>
                <w:szCs w:val="22"/>
                <w:rtl w:val="0"/>
              </w:rPr>
              <w:t xml:space="preserve">❌  Unngå dette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Kjøp deg tid: «Takk for at du ringer. Kan jeg ringe deg tilbake om 10 minutter?»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Si «ingen kommentar» – det tolkes som at vi skjuler noe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Finn ut hva journalistens fokus er FØR du svarer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Spekulere om årsak, antall skadede, skyld eller ansvar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Formuler maksimalt 3 nøkkelbudskap – hold deg til 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Snakke «off the record» – alt kan brukes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Bruk bro-setninger: «Det viktige her er…», «Det jeg kan si er…»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Si mer enn du er klarert til å 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Be om sitatsjekk ved behov: «Kan du sende meg sitatet du planlegger å bruke?»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Argumentere eller bli defensiv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Anerkjenn hendelsen, men referer til offisielle fakta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Svare på hypotetiske spørsmål («Hva om det hadde vært verre?»)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Si «Det vet vi ikke ennå» i stedet for å spekulere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Gi tall/detaljer du ikke er 100% sikker på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Vær konsekvent – si det samme til alle journalister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9"/>
                <w:szCs w:val="19"/>
                <w:rtl w:val="0"/>
              </w:rPr>
              <w:t xml:space="preserve">La journalisten styre hele samtalen – bruk bro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2e75b6" w:space="1" w:sz="4" w:val="single"/>
        </w:pBdr>
        <w:spacing w:after="100" w:before="2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6"/>
          <w:szCs w:val="26"/>
          <w:rtl w:val="0"/>
        </w:rPr>
        <w:t xml:space="preserve">Del 4: Spesielle situasjoner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5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1"/>
          <w:szCs w:val="21"/>
          <w:rtl w:val="0"/>
        </w:rPr>
        <w:t xml:space="preserve">Doorstepping (journalist møter deg uten avtale)</w:t>
      </w: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rolig: «Jeg er ikke rett person å snakke med nå, men jeg sørger for at noen kontakter deg.» Ikke løp, ikke smell dører. Ta kontakten videre til kommunikasjonsansvarlig.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5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1"/>
          <w:szCs w:val="21"/>
          <w:rtl w:val="0"/>
        </w:rPr>
        <w:t xml:space="preserve">Spørsmål om antall skadde / drepte</w:t>
      </w:r>
      <w:r w:rsidDel="00000000" w:rsidR="00000000" w:rsidRPr="00000000">
        <w:rPr>
          <w:rtl w:val="0"/>
        </w:rPr>
      </w:r>
    </w:p>
    <w:tbl>
      <w:tblPr>
        <w:tblStyle w:val="Table8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Si: «Antall skadde/drepte er det politiet som bekrefter. Vi kan ikke spekulere i dette.» Politiet er den eneste offisielle kilden til slike opplysninger.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5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1"/>
          <w:szCs w:val="21"/>
          <w:rtl w:val="0"/>
        </w:rPr>
        <w:t xml:space="preserve">Aggressive spørsmål / beskyldninger</w:t>
      </w:r>
      <w:r w:rsidDel="00000000" w:rsidR="00000000" w:rsidRPr="00000000">
        <w:rPr>
          <w:rtl w:val="0"/>
        </w:rPr>
      </w:r>
    </w:p>
    <w:tbl>
      <w:tblPr>
        <w:tblStyle w:val="Table9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Ikke bli defensiv. Si: «Jeg forstår at du ønsker svar. Det jeg kan si er: [nøkkelbudskap].» Gå tilbake til ditt budskap, alltid.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5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1"/>
          <w:szCs w:val="21"/>
          <w:rtl w:val="0"/>
        </w:rPr>
        <w:t xml:space="preserve">Sosiale medier som kilde</w:t>
      </w:r>
      <w:r w:rsidDel="00000000" w:rsidR="00000000" w:rsidRPr="00000000">
        <w:rPr>
          <w:rtl w:val="0"/>
        </w:rPr>
      </w:r>
    </w:p>
    <w:tbl>
      <w:tblPr>
        <w:tblStyle w:val="Table10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Journalisten refererer til noe som er lagt ut på TikTok/X (tidligere Twitter): «Vi kan ikke kommentere ikke-verifisert materiale. Det vi kan bekrefte er: [fakta].»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5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1"/>
          <w:szCs w:val="21"/>
          <w:rtl w:val="0"/>
        </w:rPr>
        <w:t xml:space="preserve">Spørsmål om skyld / ansvar</w:t>
      </w:r>
      <w:r w:rsidDel="00000000" w:rsidR="00000000" w:rsidRPr="00000000">
        <w:rPr>
          <w:rtl w:val="0"/>
        </w:rPr>
      </w:r>
    </w:p>
    <w:tbl>
      <w:tblPr>
        <w:tblStyle w:val="Table11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Si: «Det er for tidlig å si noe om årsak og ansvar. Vi prioriterer nå sikkerhet og oppfølging av berørte.»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after="50" w:before="14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1"/>
          <w:szCs w:val="21"/>
          <w:rtl w:val="0"/>
        </w:rPr>
        <w:t xml:space="preserve">Pressekonferanse</w:t>
      </w:r>
      <w:r w:rsidDel="00000000" w:rsidR="00000000" w:rsidRPr="00000000">
        <w:rPr>
          <w:rtl w:val="0"/>
        </w:rPr>
      </w:r>
    </w:p>
    <w:tbl>
      <w:tblPr>
        <w:tblStyle w:val="Table12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100.0" w:type="dxa"/>
              <w:left w:w="140.0" w:type="dxa"/>
              <w:bottom w:w="100.0" w:type="dxa"/>
              <w:right w:w="14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Forbered en strukturert briefing (maks 5 min). Åpne med Hjerte-Hode-Hender (Vedlegg 6). Begrens spørsmål. Ha en ordstyrer som avslutter.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bottom w:color="2e75b6" w:space="1" w:sz="4" w:val="single"/>
        </w:pBdr>
        <w:spacing w:after="8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a5c"/>
          <w:sz w:val="22"/>
          <w:szCs w:val="22"/>
          <w:rtl w:val="0"/>
        </w:rPr>
        <w:t xml:space="preserve">HUSKELAPP – ta med på intervjuet</w:t>
      </w:r>
      <w:r w:rsidDel="00000000" w:rsidR="00000000" w:rsidRPr="00000000">
        <w:rPr>
          <w:rtl w:val="0"/>
        </w:rPr>
      </w:r>
    </w:p>
    <w:tbl>
      <w:tblPr>
        <w:tblStyle w:val="Table13"/>
        <w:tblW w:w="90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00"/>
        <w:gridCol w:w="7026"/>
        <w:tblGridChange w:id="0">
          <w:tblGrid>
            <w:gridCol w:w="2000"/>
            <w:gridCol w:w="70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Budskap 1: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Budskap 2: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Budskap 3: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Hva vi IKKE kan si: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eef4fb" w:val="clear"/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Neste oppdatering kl.: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4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200" w:lineRule="auto"/>
        <w:jc w:val="right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NKA Arrangørveileder – Krisekommunikasjon / Vedlegg 7  |  Se også: Vedlegg 6 (budskapsmaler), Vedlegg 4 (publiseringsflyt)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200" w:top="1200" w:left="1200" w:right="12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560" w:hanging="2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